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72C42" w14:textId="77777777" w:rsidR="00B443D5" w:rsidRDefault="00B443D5">
      <w:pPr>
        <w:pStyle w:val="Title"/>
        <w:rPr>
          <w:sz w:val="2"/>
        </w:rPr>
      </w:pPr>
    </w:p>
    <w:tbl>
      <w:tblPr>
        <w:tblW w:w="0" w:type="auto"/>
        <w:tblInd w:w="1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8894"/>
      </w:tblGrid>
      <w:tr w:rsidR="00B443D5" w14:paraId="26872C45" w14:textId="77777777" w:rsidTr="00C21F84">
        <w:trPr>
          <w:trHeight w:val="1875"/>
        </w:trPr>
        <w:tc>
          <w:tcPr>
            <w:tcW w:w="11069" w:type="dxa"/>
            <w:gridSpan w:val="2"/>
            <w:tcBorders>
              <w:top w:val="nil"/>
              <w:left w:val="nil"/>
              <w:right w:val="nil"/>
            </w:tcBorders>
            <w:shd w:val="clear" w:color="auto" w:fill="0070C0"/>
          </w:tcPr>
          <w:p w14:paraId="26872C43" w14:textId="77777777" w:rsidR="00B443D5" w:rsidRPr="00414DA1" w:rsidRDefault="00B443D5">
            <w:pPr>
              <w:pStyle w:val="TableParagraph"/>
              <w:spacing w:before="243"/>
              <w:ind w:left="0"/>
              <w:rPr>
                <w:rFonts w:ascii="Lato" w:hAnsi="Lato"/>
                <w:sz w:val="36"/>
              </w:rPr>
            </w:pPr>
          </w:p>
          <w:p w14:paraId="26872C44" w14:textId="77777777" w:rsidR="00B443D5" w:rsidRPr="00414DA1" w:rsidRDefault="00232597">
            <w:pPr>
              <w:pStyle w:val="TableParagraph"/>
              <w:ind w:left="0" w:right="123"/>
              <w:jc w:val="center"/>
              <w:rPr>
                <w:rFonts w:ascii="Lato" w:hAnsi="Lato"/>
                <w:b/>
                <w:sz w:val="36"/>
              </w:rPr>
            </w:pPr>
            <w:r w:rsidRPr="00414DA1">
              <w:rPr>
                <w:rFonts w:ascii="Lato" w:hAnsi="Lato"/>
                <w:b/>
                <w:color w:val="FFFFFF"/>
                <w:sz w:val="36"/>
              </w:rPr>
              <w:t>Equal Employment Opportunity (EEO)</w:t>
            </w:r>
            <w:r w:rsidRPr="00414DA1">
              <w:rPr>
                <w:rFonts w:ascii="Lato" w:hAnsi="Lato"/>
                <w:b/>
                <w:color w:val="FFFFFF"/>
                <w:spacing w:val="-8"/>
                <w:sz w:val="36"/>
              </w:rPr>
              <w:t xml:space="preserve"> </w:t>
            </w:r>
            <w:r w:rsidRPr="00414DA1">
              <w:rPr>
                <w:rFonts w:ascii="Lato" w:hAnsi="Lato"/>
                <w:b/>
                <w:color w:val="FFFFFF"/>
                <w:spacing w:val="-2"/>
                <w:sz w:val="36"/>
              </w:rPr>
              <w:t>Committee</w:t>
            </w:r>
          </w:p>
        </w:tc>
      </w:tr>
      <w:tr w:rsidR="00B443D5" w14:paraId="26872C48" w14:textId="77777777" w:rsidTr="00C21F84">
        <w:trPr>
          <w:trHeight w:val="360"/>
        </w:trPr>
        <w:tc>
          <w:tcPr>
            <w:tcW w:w="2175" w:type="dxa"/>
            <w:tcBorders>
              <w:left w:val="nil"/>
            </w:tcBorders>
            <w:shd w:val="clear" w:color="auto" w:fill="BFBFBF" w:themeFill="background1" w:themeFillShade="BF"/>
          </w:tcPr>
          <w:p w14:paraId="26872C46" w14:textId="77777777" w:rsidR="00B443D5" w:rsidRPr="00414DA1" w:rsidRDefault="00232597">
            <w:pPr>
              <w:pStyle w:val="TableParagraph"/>
              <w:rPr>
                <w:rFonts w:ascii="Lato" w:hAnsi="Lato"/>
                <w:b/>
              </w:rPr>
            </w:pPr>
            <w:r w:rsidRPr="00414DA1">
              <w:rPr>
                <w:rFonts w:ascii="Lato" w:hAnsi="Lato"/>
                <w:b/>
                <w:color w:val="FFFFFF"/>
              </w:rPr>
              <w:t>Established</w:t>
            </w:r>
            <w:r w:rsidRPr="00414DA1">
              <w:rPr>
                <w:rFonts w:ascii="Lato" w:hAnsi="Lato"/>
                <w:b/>
                <w:color w:val="FFFFFF"/>
                <w:spacing w:val="-10"/>
              </w:rPr>
              <w:t xml:space="preserve"> </w:t>
            </w:r>
            <w:r w:rsidRPr="00414DA1">
              <w:rPr>
                <w:rFonts w:ascii="Lato" w:hAnsi="Lato"/>
                <w:b/>
                <w:color w:val="FFFFFF"/>
                <w:spacing w:val="-4"/>
              </w:rPr>
              <w:t>on/by</w:t>
            </w:r>
          </w:p>
        </w:tc>
        <w:tc>
          <w:tcPr>
            <w:tcW w:w="8894" w:type="dxa"/>
            <w:tcBorders>
              <w:right w:val="nil"/>
            </w:tcBorders>
            <w:shd w:val="clear" w:color="auto" w:fill="1E8ACD"/>
          </w:tcPr>
          <w:p w14:paraId="26872C47" w14:textId="663742A8" w:rsidR="00B443D5" w:rsidRDefault="00B443D5">
            <w:pPr>
              <w:pStyle w:val="TableParagraph"/>
              <w:spacing w:before="20"/>
              <w:ind w:left="209"/>
            </w:pPr>
          </w:p>
        </w:tc>
      </w:tr>
      <w:tr w:rsidR="00B443D5" w14:paraId="26872C4B" w14:textId="77777777" w:rsidTr="00C21F84">
        <w:trPr>
          <w:trHeight w:val="360"/>
        </w:trPr>
        <w:tc>
          <w:tcPr>
            <w:tcW w:w="2175" w:type="dxa"/>
            <w:tcBorders>
              <w:left w:val="nil"/>
            </w:tcBorders>
            <w:shd w:val="clear" w:color="auto" w:fill="4F81BD" w:themeFill="accent1"/>
          </w:tcPr>
          <w:p w14:paraId="26872C49" w14:textId="77777777" w:rsidR="00B443D5" w:rsidRPr="00414DA1" w:rsidRDefault="00232597">
            <w:pPr>
              <w:pStyle w:val="TableParagraph"/>
              <w:rPr>
                <w:rFonts w:ascii="Lato" w:hAnsi="Lato"/>
                <w:b/>
              </w:rPr>
            </w:pPr>
            <w:r w:rsidRPr="00414DA1">
              <w:rPr>
                <w:rFonts w:ascii="Lato" w:hAnsi="Lato"/>
                <w:b/>
                <w:color w:val="FFFFFF"/>
              </w:rPr>
              <w:t>Meeting</w:t>
            </w:r>
            <w:r w:rsidRPr="00414DA1">
              <w:rPr>
                <w:rFonts w:ascii="Lato" w:hAnsi="Lato"/>
                <w:b/>
                <w:color w:val="FFFFFF"/>
                <w:spacing w:val="-6"/>
              </w:rPr>
              <w:t xml:space="preserve"> </w:t>
            </w:r>
            <w:r w:rsidRPr="00414DA1">
              <w:rPr>
                <w:rFonts w:ascii="Lato" w:hAnsi="Lato"/>
                <w:b/>
                <w:color w:val="FFFFFF"/>
                <w:spacing w:val="-2"/>
              </w:rPr>
              <w:t>Schedule</w:t>
            </w:r>
          </w:p>
        </w:tc>
        <w:tc>
          <w:tcPr>
            <w:tcW w:w="8894" w:type="dxa"/>
            <w:tcBorders>
              <w:right w:val="nil"/>
            </w:tcBorders>
            <w:shd w:val="clear" w:color="auto" w:fill="D0CECE"/>
          </w:tcPr>
          <w:p w14:paraId="26872C4A" w14:textId="59C9654D" w:rsidR="00B443D5" w:rsidRPr="00C21F84" w:rsidRDefault="00C21F84" w:rsidP="00C21F84">
            <w:pPr>
              <w:pStyle w:val="TableParagraph"/>
              <w:spacing w:before="30"/>
              <w:rPr>
                <w:sz w:val="24"/>
                <w:szCs w:val="24"/>
              </w:rPr>
            </w:pPr>
            <w:r>
              <w:t xml:space="preserve"> </w:t>
            </w:r>
            <w:r w:rsidRPr="00C21F84">
              <w:rPr>
                <w:sz w:val="24"/>
                <w:szCs w:val="24"/>
              </w:rPr>
              <w:t xml:space="preserve"> </w:t>
            </w:r>
            <w:r w:rsidR="00232597" w:rsidRPr="00C21F84">
              <w:rPr>
                <w:sz w:val="24"/>
                <w:szCs w:val="24"/>
              </w:rPr>
              <w:t>2nd</w:t>
            </w:r>
            <w:r w:rsidR="00232597" w:rsidRPr="00C21F84">
              <w:rPr>
                <w:spacing w:val="-1"/>
                <w:sz w:val="24"/>
                <w:szCs w:val="24"/>
              </w:rPr>
              <w:t xml:space="preserve"> </w:t>
            </w:r>
            <w:r w:rsidR="009B32CD">
              <w:rPr>
                <w:spacing w:val="-2"/>
                <w:sz w:val="24"/>
                <w:szCs w:val="24"/>
              </w:rPr>
              <w:t xml:space="preserve">Monday </w:t>
            </w:r>
            <w:r w:rsidR="00232597" w:rsidRPr="00C21F84">
              <w:rPr>
                <w:sz w:val="24"/>
                <w:szCs w:val="24"/>
              </w:rPr>
              <w:t>of</w:t>
            </w:r>
            <w:r w:rsidR="00232597" w:rsidRPr="00C21F84">
              <w:rPr>
                <w:spacing w:val="-1"/>
                <w:sz w:val="24"/>
                <w:szCs w:val="24"/>
              </w:rPr>
              <w:t xml:space="preserve"> </w:t>
            </w:r>
            <w:r w:rsidR="00232597" w:rsidRPr="00C21F84">
              <w:rPr>
                <w:sz w:val="24"/>
                <w:szCs w:val="24"/>
              </w:rPr>
              <w:t>every</w:t>
            </w:r>
            <w:r w:rsidR="00232597" w:rsidRPr="00C21F84">
              <w:rPr>
                <w:spacing w:val="-1"/>
                <w:sz w:val="24"/>
                <w:szCs w:val="24"/>
              </w:rPr>
              <w:t xml:space="preserve"> </w:t>
            </w:r>
            <w:r w:rsidR="00232597" w:rsidRPr="00C21F84">
              <w:rPr>
                <w:spacing w:val="-2"/>
                <w:sz w:val="24"/>
                <w:szCs w:val="24"/>
              </w:rPr>
              <w:t>month</w:t>
            </w:r>
          </w:p>
        </w:tc>
      </w:tr>
      <w:tr w:rsidR="00B443D5" w14:paraId="26872C58" w14:textId="77777777" w:rsidTr="00C21F84">
        <w:trPr>
          <w:trHeight w:val="3660"/>
        </w:trPr>
        <w:tc>
          <w:tcPr>
            <w:tcW w:w="2175" w:type="dxa"/>
            <w:tcBorders>
              <w:left w:val="nil"/>
              <w:bottom w:val="single" w:sz="6" w:space="0" w:color="FFFFFF"/>
            </w:tcBorders>
            <w:shd w:val="clear" w:color="auto" w:fill="4F81BD" w:themeFill="accent1"/>
          </w:tcPr>
          <w:p w14:paraId="26872C4C" w14:textId="77777777" w:rsidR="00B443D5" w:rsidRPr="00414DA1" w:rsidRDefault="00232597">
            <w:pPr>
              <w:pStyle w:val="TableParagraph"/>
              <w:rPr>
                <w:rFonts w:ascii="Lato" w:hAnsi="Lato"/>
                <w:b/>
              </w:rPr>
            </w:pPr>
            <w:r w:rsidRPr="00414DA1">
              <w:rPr>
                <w:rFonts w:ascii="Lato" w:hAnsi="Lato"/>
                <w:b/>
                <w:color w:val="FFFFFF"/>
                <w:spacing w:val="-2"/>
              </w:rPr>
              <w:t>Charges</w:t>
            </w:r>
          </w:p>
        </w:tc>
        <w:tc>
          <w:tcPr>
            <w:tcW w:w="8894" w:type="dxa"/>
            <w:tcBorders>
              <w:bottom w:val="single" w:sz="6" w:space="0" w:color="FFFFFF"/>
              <w:right w:val="nil"/>
            </w:tcBorders>
            <w:shd w:val="clear" w:color="auto" w:fill="FFFFFF" w:themeFill="background1"/>
          </w:tcPr>
          <w:p w14:paraId="26872C4D" w14:textId="77777777" w:rsidR="00B443D5" w:rsidRPr="00252431" w:rsidRDefault="00232597" w:rsidP="00414DA1">
            <w:pPr>
              <w:pStyle w:val="TableParagraph"/>
              <w:spacing w:before="87"/>
              <w:ind w:left="121"/>
              <w:rPr>
                <w:rFonts w:ascii="Lato" w:hAnsi="Lato"/>
                <w:b/>
                <w:sz w:val="24"/>
                <w:szCs w:val="24"/>
              </w:rPr>
            </w:pPr>
            <w:r w:rsidRPr="00252431">
              <w:rPr>
                <w:rFonts w:ascii="Lato" w:hAnsi="Lato"/>
                <w:b/>
                <w:sz w:val="24"/>
                <w:szCs w:val="24"/>
              </w:rPr>
              <w:t xml:space="preserve">Mission </w:t>
            </w:r>
            <w:r w:rsidRPr="00252431">
              <w:rPr>
                <w:rFonts w:ascii="Lato" w:hAnsi="Lato"/>
                <w:b/>
                <w:spacing w:val="-2"/>
                <w:sz w:val="24"/>
                <w:szCs w:val="24"/>
              </w:rPr>
              <w:t>Statement</w:t>
            </w:r>
          </w:p>
          <w:p w14:paraId="26872C4E" w14:textId="77777777" w:rsidR="00B443D5" w:rsidRPr="00252431" w:rsidRDefault="00232597" w:rsidP="00414DA1">
            <w:pPr>
              <w:pStyle w:val="TableParagraph"/>
              <w:spacing w:before="1"/>
              <w:ind w:left="116" w:right="489"/>
              <w:rPr>
                <w:rFonts w:ascii="Lato" w:hAnsi="Lato"/>
                <w:sz w:val="24"/>
                <w:szCs w:val="24"/>
              </w:rPr>
            </w:pPr>
            <w:r w:rsidRPr="00252431">
              <w:rPr>
                <w:rFonts w:ascii="Lato" w:hAnsi="Lato"/>
                <w:sz w:val="24"/>
                <w:szCs w:val="24"/>
              </w:rPr>
              <w:t>EEO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will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promote</w:t>
            </w:r>
            <w:r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a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positive</w:t>
            </w:r>
            <w:r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educational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and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working</w:t>
            </w:r>
            <w:r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environment</w:t>
            </w:r>
            <w:r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that</w:t>
            </w:r>
            <w:r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will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foster</w:t>
            </w:r>
            <w:r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appreciation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and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inclusion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of the diverse population of California by:</w:t>
            </w:r>
          </w:p>
          <w:p w14:paraId="26872C4F" w14:textId="77777777" w:rsidR="00B443D5" w:rsidRPr="00252431" w:rsidRDefault="00B443D5" w:rsidP="00414DA1">
            <w:pPr>
              <w:pStyle w:val="TableParagraph"/>
              <w:spacing w:before="71"/>
              <w:ind w:left="0"/>
              <w:rPr>
                <w:rFonts w:ascii="Lato" w:hAnsi="Lato"/>
                <w:sz w:val="24"/>
                <w:szCs w:val="24"/>
              </w:rPr>
            </w:pPr>
          </w:p>
          <w:p w14:paraId="26872C50" w14:textId="77777777" w:rsidR="00B443D5" w:rsidRPr="00252431" w:rsidRDefault="00232597" w:rsidP="00414DA1">
            <w:pPr>
              <w:pStyle w:val="TableParagraph"/>
              <w:ind w:left="116"/>
              <w:rPr>
                <w:rFonts w:ascii="Lato" w:hAnsi="Lato"/>
                <w:b/>
                <w:sz w:val="24"/>
                <w:szCs w:val="24"/>
              </w:rPr>
            </w:pPr>
            <w:r w:rsidRPr="00252431">
              <w:rPr>
                <w:rFonts w:ascii="Lato" w:hAnsi="Lato"/>
                <w:b/>
                <w:spacing w:val="-2"/>
                <w:sz w:val="24"/>
                <w:szCs w:val="24"/>
              </w:rPr>
              <w:t>Charges</w:t>
            </w:r>
          </w:p>
          <w:p w14:paraId="26872C51" w14:textId="4F633028" w:rsidR="00B443D5" w:rsidRPr="00252431" w:rsidRDefault="00414DA1" w:rsidP="00414DA1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79"/>
              <w:ind w:left="288" w:hanging="187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Advising,</w:t>
            </w:r>
            <w:r w:rsidR="00232597" w:rsidRPr="00252431">
              <w:rPr>
                <w:rFonts w:ascii="Lato" w:hAnsi="Lato"/>
                <w:spacing w:val="-5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assisting,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and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making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recommendations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to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the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college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on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the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implementation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of</w:t>
            </w:r>
            <w:r w:rsidR="00232597"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a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>
              <w:rPr>
                <w:rFonts w:ascii="Lato" w:hAnsi="Lato"/>
                <w:sz w:val="24"/>
                <w:szCs w:val="24"/>
              </w:rPr>
              <w:t>D</w:t>
            </w:r>
            <w:r w:rsidR="00232597" w:rsidRPr="00252431">
              <w:rPr>
                <w:rFonts w:ascii="Lato" w:hAnsi="Lato"/>
                <w:sz w:val="24"/>
                <w:szCs w:val="24"/>
              </w:rPr>
              <w:t>istrict-wide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EEO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>plan.</w:t>
            </w:r>
          </w:p>
          <w:p w14:paraId="26872C52" w14:textId="312F529A" w:rsidR="00B443D5" w:rsidRPr="00252431" w:rsidRDefault="00414DA1" w:rsidP="00414DA1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61"/>
              </w:tabs>
              <w:spacing w:before="1"/>
              <w:ind w:right="168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Developing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and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implementing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effective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equal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employment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opportunity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practices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and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programs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at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the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college.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This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includes,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but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is</w:t>
            </w:r>
            <w:r w:rsidR="00232597" w:rsidRPr="00252431">
              <w:rPr>
                <w:rFonts w:ascii="Lato" w:hAnsi="Lato"/>
                <w:spacing w:val="40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not limited to, visibility of staff diversity and disability access.</w:t>
            </w:r>
          </w:p>
          <w:p w14:paraId="26872C53" w14:textId="02F4F892" w:rsidR="00B443D5" w:rsidRPr="00252431" w:rsidRDefault="00414DA1" w:rsidP="00414DA1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61"/>
              </w:tabs>
              <w:spacing w:before="1"/>
              <w:ind w:right="164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Sponsoring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or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co-sponsoring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events,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training,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or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other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activities</w:t>
            </w:r>
            <w:r w:rsidR="00232597"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that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promote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equal</w:t>
            </w:r>
            <w:r w:rsidR="00232597"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employment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opportunity,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non-discrimination,</w:t>
            </w:r>
            <w:r w:rsidR="00232597" w:rsidRPr="00252431">
              <w:rPr>
                <w:rFonts w:ascii="Lato" w:hAnsi="Lato"/>
                <w:spacing w:val="40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unconscious bias awareness, cultural/disability awareness, retention and diversity, and cross-cultural communication and</w:t>
            </w:r>
            <w:r w:rsidR="00232597" w:rsidRPr="00252431">
              <w:rPr>
                <w:rFonts w:ascii="Lato" w:hAnsi="Lato"/>
                <w:spacing w:val="40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>collaboration.</w:t>
            </w:r>
          </w:p>
          <w:p w14:paraId="26872C54" w14:textId="10E06E12" w:rsidR="00B443D5" w:rsidRPr="00252431" w:rsidRDefault="00414DA1" w:rsidP="00414DA1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  <w:tab w:val="left" w:pos="261"/>
              </w:tabs>
              <w:ind w:right="576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Creating a plan to monitor all selection committees for ethnic, gender, and disability balance, and to ensure the integrity of</w:t>
            </w:r>
            <w:r w:rsidR="00232597" w:rsidRPr="00252431">
              <w:rPr>
                <w:rFonts w:ascii="Lato" w:hAnsi="Lato"/>
                <w:spacing w:val="40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following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the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requirements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and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the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intent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of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the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EEO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process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to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hire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a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more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*diverse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workforce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and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report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the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findings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to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the</w:t>
            </w:r>
            <w:r w:rsidR="00232597" w:rsidRPr="00252431">
              <w:rPr>
                <w:rFonts w:ascii="Lato" w:hAnsi="Lato"/>
                <w:spacing w:val="40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President for any necessary action (specific action if required) (see 4c and Employee Demographics).</w:t>
            </w:r>
          </w:p>
          <w:p w14:paraId="26872C55" w14:textId="429F428D" w:rsidR="00B443D5" w:rsidRPr="00252431" w:rsidRDefault="00414DA1" w:rsidP="00414DA1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Participating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on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the</w:t>
            </w:r>
            <w:r w:rsidR="00232597" w:rsidRPr="00252431">
              <w:rPr>
                <w:rFonts w:ascii="Lato" w:hAnsi="Lato"/>
                <w:spacing w:val="-1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District</w:t>
            </w:r>
            <w:r w:rsidR="00232597" w:rsidRPr="00252431">
              <w:rPr>
                <w:rFonts w:ascii="Lato" w:hAnsi="Lato"/>
                <w:spacing w:val="-1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Equal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Employment</w:t>
            </w:r>
            <w:r w:rsidR="00232597" w:rsidRPr="00252431">
              <w:rPr>
                <w:rFonts w:ascii="Lato" w:hAnsi="Lato"/>
                <w:spacing w:val="-1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Opportunity</w:t>
            </w:r>
            <w:r w:rsidR="00232597" w:rsidRPr="00252431">
              <w:rPr>
                <w:rFonts w:ascii="Lato" w:hAnsi="Lato"/>
                <w:spacing w:val="-1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Advisory</w:t>
            </w:r>
            <w:r w:rsidR="00232597" w:rsidRPr="00252431">
              <w:rPr>
                <w:rFonts w:ascii="Lato" w:hAnsi="Lato"/>
                <w:spacing w:val="-1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Council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(DEEOAC).</w:t>
            </w:r>
          </w:p>
          <w:p w14:paraId="26872C56" w14:textId="1F61390B" w:rsidR="00B443D5" w:rsidRPr="00252431" w:rsidRDefault="00414DA1" w:rsidP="00414DA1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Working</w:t>
            </w:r>
            <w:r w:rsidR="00232597" w:rsidRPr="00252431">
              <w:rPr>
                <w:rFonts w:ascii="Lato" w:hAnsi="Lato"/>
                <w:spacing w:val="-6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with</w:t>
            </w:r>
            <w:r w:rsidR="00232597"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college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and</w:t>
            </w:r>
            <w:r w:rsidR="00232597"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District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leadership</w:t>
            </w:r>
            <w:r w:rsidR="00232597"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to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provide</w:t>
            </w:r>
            <w:r w:rsidR="00232597"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regular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annual</w:t>
            </w:r>
            <w:r w:rsidR="00232597"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reporting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to</w:t>
            </w:r>
            <w:r w:rsidR="00232597"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various</w:t>
            </w:r>
            <w:r w:rsidR="00232597"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constituencies/forums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on</w:t>
            </w:r>
            <w:r w:rsidR="00232597"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the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>status</w:t>
            </w:r>
          </w:p>
          <w:p w14:paraId="26872C57" w14:textId="081C461B" w:rsidR="00B443D5" w:rsidRPr="00252431" w:rsidRDefault="00414DA1" w:rsidP="00414DA1">
            <w:pPr>
              <w:pStyle w:val="TableParagraph"/>
              <w:ind w:left="101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   </w:t>
            </w:r>
            <w:r w:rsidR="00232597" w:rsidRPr="00252431">
              <w:rPr>
                <w:rFonts w:ascii="Lato" w:hAnsi="Lato"/>
                <w:sz w:val="24"/>
                <w:szCs w:val="24"/>
              </w:rPr>
              <w:t>(and</w:t>
            </w:r>
            <w:r w:rsidR="00232597" w:rsidRPr="00252431">
              <w:rPr>
                <w:rFonts w:ascii="Lato" w:hAnsi="Lato"/>
                <w:spacing w:val="-6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changes)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in</w:t>
            </w:r>
            <w:r w:rsidR="00232597"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the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diversity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of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CCC</w:t>
            </w:r>
            <w:r w:rsidR="00232597" w:rsidRPr="00252431">
              <w:rPr>
                <w:rFonts w:ascii="Lato" w:hAnsi="Lato"/>
                <w:sz w:val="24"/>
                <w:szCs w:val="24"/>
              </w:rPr>
              <w:t>’s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workforce.</w:t>
            </w:r>
            <w:r w:rsidR="00232597"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(see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4cd</w:t>
            </w:r>
            <w:r w:rsidR="00232597"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and</w:t>
            </w:r>
            <w:r w:rsidR="00232597"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z w:val="24"/>
                <w:szCs w:val="24"/>
              </w:rPr>
              <w:t>Employee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="00232597" w:rsidRPr="00252431">
              <w:rPr>
                <w:rFonts w:ascii="Lato" w:hAnsi="Lato"/>
                <w:spacing w:val="-2"/>
                <w:sz w:val="24"/>
                <w:szCs w:val="24"/>
              </w:rPr>
              <w:t>Demographics)</w:t>
            </w:r>
          </w:p>
        </w:tc>
      </w:tr>
      <w:tr w:rsidR="00B443D5" w14:paraId="26872C5D" w14:textId="77777777" w:rsidTr="00C21F84">
        <w:trPr>
          <w:trHeight w:val="2348"/>
        </w:trPr>
        <w:tc>
          <w:tcPr>
            <w:tcW w:w="2175" w:type="dxa"/>
            <w:tcBorders>
              <w:top w:val="single" w:sz="6" w:space="0" w:color="FFFFFF"/>
              <w:left w:val="nil"/>
              <w:bottom w:val="single" w:sz="12" w:space="0" w:color="FFFFFF"/>
            </w:tcBorders>
            <w:shd w:val="clear" w:color="auto" w:fill="4F81BD" w:themeFill="accent1"/>
          </w:tcPr>
          <w:p w14:paraId="26872C59" w14:textId="77777777" w:rsidR="00B443D5" w:rsidRPr="00414DA1" w:rsidRDefault="00232597">
            <w:pPr>
              <w:pStyle w:val="TableParagraph"/>
              <w:spacing w:line="242" w:lineRule="auto"/>
              <w:ind w:right="140"/>
              <w:rPr>
                <w:rFonts w:ascii="Lato" w:hAnsi="Lato"/>
                <w:b/>
              </w:rPr>
            </w:pPr>
            <w:r w:rsidRPr="00414DA1">
              <w:rPr>
                <w:rFonts w:ascii="Lato" w:hAnsi="Lato"/>
                <w:b/>
                <w:color w:val="FFFFFF"/>
                <w:spacing w:val="-2"/>
              </w:rPr>
              <w:t>Primary</w:t>
            </w:r>
            <w:r w:rsidRPr="00414DA1">
              <w:rPr>
                <w:rFonts w:ascii="Lato" w:hAnsi="Lato"/>
                <w:b/>
                <w:color w:val="FFFFFF"/>
                <w:spacing w:val="40"/>
              </w:rPr>
              <w:t xml:space="preserve"> </w:t>
            </w:r>
            <w:hyperlink r:id="rId5">
              <w:r w:rsidRPr="00414DA1">
                <w:rPr>
                  <w:rFonts w:ascii="Lato" w:hAnsi="Lato"/>
                  <w:b/>
                  <w:color w:val="FFFFFF"/>
                  <w:spacing w:val="-2"/>
                </w:rPr>
                <w:t>Accreditation</w:t>
              </w:r>
            </w:hyperlink>
            <w:r w:rsidRPr="00414DA1">
              <w:rPr>
                <w:rFonts w:ascii="Lato" w:hAnsi="Lato"/>
                <w:b/>
                <w:color w:val="FFFFFF"/>
                <w:spacing w:val="-2"/>
              </w:rPr>
              <w:t xml:space="preserve"> </w:t>
            </w:r>
            <w:hyperlink r:id="rId6">
              <w:r w:rsidRPr="00414DA1">
                <w:rPr>
                  <w:rFonts w:ascii="Lato" w:hAnsi="Lato"/>
                  <w:b/>
                  <w:color w:val="FFFFFF"/>
                </w:rPr>
                <w:t>Standards</w:t>
              </w:r>
            </w:hyperlink>
            <w:r w:rsidRPr="00414DA1">
              <w:rPr>
                <w:rFonts w:ascii="Lato" w:hAnsi="Lato"/>
                <w:b/>
                <w:color w:val="FFFFFF"/>
                <w:spacing w:val="-13"/>
              </w:rPr>
              <w:t xml:space="preserve"> </w:t>
            </w:r>
            <w:r w:rsidRPr="00414DA1">
              <w:rPr>
                <w:rFonts w:ascii="Lato" w:hAnsi="Lato"/>
                <w:b/>
                <w:color w:val="FFFFFF"/>
              </w:rPr>
              <w:t>Supported</w:t>
            </w:r>
          </w:p>
        </w:tc>
        <w:tc>
          <w:tcPr>
            <w:tcW w:w="8894" w:type="dxa"/>
            <w:tcBorders>
              <w:top w:val="single" w:sz="6" w:space="0" w:color="FFFFFF"/>
              <w:bottom w:val="single" w:sz="12" w:space="0" w:color="FFFFFF"/>
              <w:right w:val="nil"/>
            </w:tcBorders>
            <w:shd w:val="clear" w:color="auto" w:fill="FFFFFF" w:themeFill="background1"/>
          </w:tcPr>
          <w:p w14:paraId="26872C5A" w14:textId="77777777" w:rsidR="00B443D5" w:rsidRPr="00252431" w:rsidRDefault="00232597" w:rsidP="00414DA1">
            <w:pPr>
              <w:pStyle w:val="TableParagraph"/>
              <w:spacing w:before="60"/>
              <w:ind w:left="29" w:right="159"/>
              <w:rPr>
                <w:rFonts w:ascii="Lato" w:hAnsi="Lato"/>
                <w:sz w:val="24"/>
                <w:szCs w:val="24"/>
              </w:rPr>
            </w:pPr>
            <w:r w:rsidRPr="00252431">
              <w:rPr>
                <w:rFonts w:ascii="Lato" w:hAnsi="Lato"/>
                <w:sz w:val="24"/>
                <w:szCs w:val="24"/>
              </w:rPr>
              <w:t>3.1</w:t>
            </w:r>
            <w:r w:rsidRPr="00252431">
              <w:rPr>
                <w:rFonts w:ascii="Lato" w:hAnsi="Lato"/>
                <w:spacing w:val="40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The institution employs qualified faculty, staff, administrators, and other personnel to support and sustain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educational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services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and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improve</w:t>
            </w:r>
            <w:r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student</w:t>
            </w:r>
            <w:r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success.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The</w:t>
            </w:r>
            <w:r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institution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maintains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appropriate</w:t>
            </w:r>
            <w:r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 xml:space="preserve">policies and regularly assesses its employment practices to promote and improve equity, diversity, and mission </w:t>
            </w:r>
            <w:r w:rsidRPr="00252431">
              <w:rPr>
                <w:rFonts w:ascii="Lato" w:hAnsi="Lato"/>
                <w:spacing w:val="-2"/>
                <w:sz w:val="24"/>
                <w:szCs w:val="24"/>
              </w:rPr>
              <w:t>fulfillment.</w:t>
            </w:r>
          </w:p>
          <w:p w14:paraId="26872C5B" w14:textId="77777777" w:rsidR="00B443D5" w:rsidRPr="00252431" w:rsidRDefault="00232597" w:rsidP="00414DA1">
            <w:pPr>
              <w:pStyle w:val="TableParagraph"/>
              <w:spacing w:before="76"/>
              <w:ind w:left="29" w:right="489"/>
              <w:rPr>
                <w:rFonts w:ascii="Lato" w:hAnsi="Lato"/>
                <w:sz w:val="24"/>
                <w:szCs w:val="24"/>
              </w:rPr>
            </w:pPr>
            <w:r w:rsidRPr="00252431">
              <w:rPr>
                <w:rFonts w:ascii="Lato" w:hAnsi="Lato"/>
                <w:sz w:val="24"/>
                <w:szCs w:val="24"/>
              </w:rPr>
              <w:t>3.2. The institution supports its employees with professional learning opportunities aligned with the mission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and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institutional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goals.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These</w:t>
            </w:r>
            <w:r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opportunities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are</w:t>
            </w:r>
            <w:r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regularly</w:t>
            </w:r>
            <w:r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evaluated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for</w:t>
            </w:r>
            <w:r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overall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effectiveness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in promoting equitable student success and in meeting institutional and employee needs.</w:t>
            </w:r>
          </w:p>
          <w:p w14:paraId="26872C5C" w14:textId="77777777" w:rsidR="00B443D5" w:rsidRPr="00252431" w:rsidRDefault="00232597" w:rsidP="00414DA1">
            <w:pPr>
              <w:pStyle w:val="TableParagraph"/>
              <w:ind w:left="11"/>
              <w:rPr>
                <w:rFonts w:ascii="Lato" w:hAnsi="Lato"/>
                <w:sz w:val="24"/>
                <w:szCs w:val="24"/>
              </w:rPr>
            </w:pPr>
            <w:r w:rsidRPr="00252431">
              <w:rPr>
                <w:rFonts w:ascii="Lato" w:hAnsi="Lato"/>
                <w:sz w:val="24"/>
                <w:szCs w:val="24"/>
              </w:rPr>
              <w:t>3.3.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The</w:t>
            </w:r>
            <w:r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institution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evaluates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its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employees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regularly,</w:t>
            </w:r>
            <w:r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using</w:t>
            </w:r>
            <w:r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clear</w:t>
            </w:r>
            <w:r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criteria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that</w:t>
            </w:r>
            <w:r w:rsidRPr="00252431">
              <w:rPr>
                <w:rFonts w:ascii="Lato" w:hAnsi="Lato"/>
                <w:spacing w:val="-3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align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with</w:t>
            </w:r>
            <w:r w:rsidRPr="00252431">
              <w:rPr>
                <w:rFonts w:ascii="Lato" w:hAnsi="Lato"/>
                <w:spacing w:val="-4"/>
                <w:sz w:val="24"/>
                <w:szCs w:val="24"/>
              </w:rPr>
              <w:t xml:space="preserve"> </w:t>
            </w:r>
            <w:r w:rsidRPr="00252431">
              <w:rPr>
                <w:rFonts w:ascii="Lato" w:hAnsi="Lato"/>
                <w:sz w:val="24"/>
                <w:szCs w:val="24"/>
              </w:rPr>
              <w:t>professional responsibilities and reflect the institution’s mission and goals.</w:t>
            </w:r>
          </w:p>
        </w:tc>
      </w:tr>
      <w:tr w:rsidR="00B443D5" w:rsidRPr="00252431" w14:paraId="26872C62" w14:textId="77777777" w:rsidTr="00C21F84">
        <w:trPr>
          <w:trHeight w:val="1218"/>
        </w:trPr>
        <w:tc>
          <w:tcPr>
            <w:tcW w:w="2175" w:type="dxa"/>
            <w:tcBorders>
              <w:top w:val="single" w:sz="12" w:space="0" w:color="FFFFFF"/>
              <w:left w:val="nil"/>
              <w:bottom w:val="single" w:sz="8" w:space="0" w:color="FFFFFF"/>
            </w:tcBorders>
            <w:shd w:val="clear" w:color="auto" w:fill="4F81BD" w:themeFill="accent1"/>
          </w:tcPr>
          <w:p w14:paraId="26872C5E" w14:textId="77777777" w:rsidR="00B443D5" w:rsidRPr="00252431" w:rsidRDefault="00232597">
            <w:pPr>
              <w:pStyle w:val="TableParagraph"/>
              <w:spacing w:before="109"/>
              <w:ind w:left="87"/>
              <w:rPr>
                <w:rFonts w:ascii="Lato" w:hAnsi="Lato"/>
                <w:b/>
              </w:rPr>
            </w:pPr>
            <w:r w:rsidRPr="00252431">
              <w:rPr>
                <w:rFonts w:ascii="Lato" w:hAnsi="Lato"/>
                <w:b/>
                <w:color w:val="FFFFFF"/>
              </w:rPr>
              <w:t>Chair(s),</w:t>
            </w:r>
            <w:r w:rsidRPr="00252431">
              <w:rPr>
                <w:rFonts w:ascii="Lato" w:hAnsi="Lato"/>
                <w:b/>
                <w:color w:val="FFFFFF"/>
                <w:spacing w:val="-2"/>
              </w:rPr>
              <w:t xml:space="preserve"> Committee</w:t>
            </w:r>
          </w:p>
          <w:p w14:paraId="26872C5F" w14:textId="77777777" w:rsidR="00B443D5" w:rsidRPr="00252431" w:rsidRDefault="00232597">
            <w:pPr>
              <w:pStyle w:val="TableParagraph"/>
              <w:spacing w:before="145" w:line="264" w:lineRule="auto"/>
              <w:ind w:left="60" w:right="539" w:firstLine="8"/>
              <w:rPr>
                <w:rFonts w:ascii="Lato" w:hAnsi="Lato"/>
                <w:b/>
              </w:rPr>
            </w:pPr>
            <w:r w:rsidRPr="00252431">
              <w:rPr>
                <w:rFonts w:ascii="Lato" w:hAnsi="Lato"/>
                <w:b/>
                <w:color w:val="FFFFFF"/>
              </w:rPr>
              <w:t>Members,</w:t>
            </w:r>
            <w:r w:rsidRPr="00252431">
              <w:rPr>
                <w:rFonts w:ascii="Lato" w:hAnsi="Lato"/>
                <w:b/>
                <w:color w:val="FFFFFF"/>
                <w:spacing w:val="-13"/>
              </w:rPr>
              <w:t xml:space="preserve"> </w:t>
            </w:r>
            <w:r w:rsidRPr="00252431">
              <w:rPr>
                <w:rFonts w:ascii="Lato" w:hAnsi="Lato"/>
                <w:b/>
                <w:color w:val="FFFFFF"/>
              </w:rPr>
              <w:t xml:space="preserve">Group </w:t>
            </w:r>
            <w:r w:rsidRPr="00252431">
              <w:rPr>
                <w:rFonts w:ascii="Lato" w:hAnsi="Lato"/>
                <w:b/>
                <w:color w:val="FFFFFF"/>
                <w:spacing w:val="-2"/>
              </w:rPr>
              <w:t>Recorder</w:t>
            </w:r>
          </w:p>
        </w:tc>
        <w:tc>
          <w:tcPr>
            <w:tcW w:w="8894" w:type="dxa"/>
            <w:tcBorders>
              <w:top w:val="single" w:sz="12" w:space="0" w:color="FFFFFF"/>
              <w:bottom w:val="single" w:sz="8" w:space="0" w:color="FFFFFF"/>
              <w:right w:val="nil"/>
            </w:tcBorders>
            <w:shd w:val="clear" w:color="auto" w:fill="FFFFFF" w:themeFill="background1"/>
          </w:tcPr>
          <w:p w14:paraId="11FF4FDE" w14:textId="2790E802" w:rsidR="0032463E" w:rsidRDefault="0032463E" w:rsidP="0032463E">
            <w:pPr>
              <w:pStyle w:val="TableParagraph"/>
              <w:spacing w:before="120"/>
              <w:ind w:left="72" w:right="720"/>
              <w:rPr>
                <w:rFonts w:ascii="Lato" w:hAnsi="Lato"/>
                <w:spacing w:val="-6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Chairperson</w:t>
            </w:r>
            <w:r w:rsidR="00232597" w:rsidRPr="00414DA1">
              <w:rPr>
                <w:rFonts w:ascii="Lato" w:hAnsi="Lato"/>
                <w:sz w:val="24"/>
                <w:szCs w:val="24"/>
              </w:rPr>
              <w:t>:</w:t>
            </w:r>
            <w:r>
              <w:rPr>
                <w:rFonts w:ascii="Lato" w:hAnsi="Lato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sz w:val="24"/>
                <w:szCs w:val="24"/>
              </w:rPr>
              <w:t>Victoria Menzies</w:t>
            </w:r>
          </w:p>
          <w:p w14:paraId="26872C60" w14:textId="2610130F" w:rsidR="00B443D5" w:rsidRPr="00414DA1" w:rsidRDefault="0032463E" w:rsidP="0032463E">
            <w:pPr>
              <w:pStyle w:val="TableParagraph"/>
              <w:ind w:left="72" w:right="720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Manager: Evan Decker</w:t>
            </w:r>
          </w:p>
          <w:p w14:paraId="26872C61" w14:textId="500311A9" w:rsidR="00B443D5" w:rsidRPr="00252431" w:rsidRDefault="0032463E" w:rsidP="00414DA1">
            <w:pPr>
              <w:pStyle w:val="TableParagraph"/>
              <w:ind w:left="74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4"/>
                <w:szCs w:val="24"/>
              </w:rPr>
              <w:t>Faculty: Jimmy Cromartie</w:t>
            </w:r>
          </w:p>
        </w:tc>
      </w:tr>
      <w:tr w:rsidR="00B443D5" w:rsidRPr="00252431" w14:paraId="26872C66" w14:textId="77777777" w:rsidTr="00C21F84">
        <w:trPr>
          <w:trHeight w:val="1128"/>
        </w:trPr>
        <w:tc>
          <w:tcPr>
            <w:tcW w:w="2175" w:type="dxa"/>
            <w:tcBorders>
              <w:top w:val="single" w:sz="8" w:space="0" w:color="FFFFFF"/>
              <w:left w:val="nil"/>
              <w:bottom w:val="nil"/>
            </w:tcBorders>
            <w:shd w:val="clear" w:color="auto" w:fill="4F81BD" w:themeFill="accent1"/>
          </w:tcPr>
          <w:p w14:paraId="26872C63" w14:textId="77777777" w:rsidR="00B443D5" w:rsidRPr="00252431" w:rsidRDefault="00232597">
            <w:pPr>
              <w:pStyle w:val="TableParagraph"/>
              <w:spacing w:before="101"/>
              <w:ind w:left="93"/>
              <w:rPr>
                <w:rFonts w:ascii="Lato" w:hAnsi="Lato"/>
                <w:b/>
              </w:rPr>
            </w:pPr>
            <w:r w:rsidRPr="00252431">
              <w:rPr>
                <w:rFonts w:ascii="Lato" w:hAnsi="Lato"/>
                <w:b/>
                <w:color w:val="FFFFFF"/>
                <w:spacing w:val="-2"/>
              </w:rPr>
              <w:lastRenderedPageBreak/>
              <w:t>Members</w:t>
            </w:r>
          </w:p>
        </w:tc>
        <w:tc>
          <w:tcPr>
            <w:tcW w:w="8894" w:type="dxa"/>
            <w:tcBorders>
              <w:top w:val="single" w:sz="8" w:space="0" w:color="FFFFFF"/>
              <w:bottom w:val="nil"/>
              <w:right w:val="nil"/>
            </w:tcBorders>
            <w:shd w:val="clear" w:color="auto" w:fill="FFFFFF" w:themeFill="background1"/>
          </w:tcPr>
          <w:p w14:paraId="773E74A3" w14:textId="77777777" w:rsidR="00B443D5" w:rsidRDefault="00232597" w:rsidP="00414DA1">
            <w:pPr>
              <w:pStyle w:val="TableParagraph"/>
              <w:spacing w:before="3"/>
              <w:ind w:left="106" w:right="2250"/>
              <w:rPr>
                <w:rFonts w:ascii="Lato" w:hAnsi="Lato"/>
                <w:sz w:val="24"/>
                <w:szCs w:val="24"/>
              </w:rPr>
            </w:pPr>
            <w:r w:rsidRPr="00414DA1">
              <w:rPr>
                <w:rFonts w:ascii="Lato" w:hAnsi="Lato"/>
                <w:sz w:val="24"/>
                <w:szCs w:val="24"/>
              </w:rPr>
              <w:t>C</w:t>
            </w:r>
            <w:r w:rsidRPr="00414DA1">
              <w:rPr>
                <w:rFonts w:ascii="Lato" w:hAnsi="Lato"/>
                <w:sz w:val="24"/>
                <w:szCs w:val="24"/>
              </w:rPr>
              <w:t>lassified</w:t>
            </w:r>
            <w:r w:rsidR="0032463E">
              <w:rPr>
                <w:rFonts w:ascii="Lato" w:hAnsi="Lato"/>
                <w:sz w:val="24"/>
                <w:szCs w:val="24"/>
              </w:rPr>
              <w:t>: Matthew Houser</w:t>
            </w:r>
            <w:r w:rsidRPr="00414DA1">
              <w:rPr>
                <w:rFonts w:ascii="Lato" w:hAnsi="Lato"/>
                <w:sz w:val="24"/>
                <w:szCs w:val="24"/>
              </w:rPr>
              <w:t xml:space="preserve"> </w:t>
            </w:r>
          </w:p>
          <w:p w14:paraId="26872C65" w14:textId="1264294B" w:rsidR="0032463E" w:rsidRPr="00252431" w:rsidRDefault="0032463E" w:rsidP="00414DA1">
            <w:pPr>
              <w:pStyle w:val="TableParagraph"/>
              <w:spacing w:before="3"/>
              <w:ind w:left="106" w:right="2250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4"/>
                <w:szCs w:val="24"/>
              </w:rPr>
              <w:t>Students: Pamela Fuentes</w:t>
            </w:r>
          </w:p>
        </w:tc>
      </w:tr>
      <w:tr w:rsidR="00B443D5" w:rsidRPr="00252431" w14:paraId="26872C6A" w14:textId="77777777" w:rsidTr="00C21F84">
        <w:trPr>
          <w:trHeight w:val="620"/>
        </w:trPr>
        <w:tc>
          <w:tcPr>
            <w:tcW w:w="2175" w:type="dxa"/>
            <w:tcBorders>
              <w:top w:val="nil"/>
              <w:left w:val="nil"/>
            </w:tcBorders>
            <w:shd w:val="clear" w:color="auto" w:fill="4F81BD" w:themeFill="accent1"/>
          </w:tcPr>
          <w:p w14:paraId="26872C67" w14:textId="77777777" w:rsidR="00B443D5" w:rsidRPr="00252431" w:rsidRDefault="00232597">
            <w:pPr>
              <w:pStyle w:val="TableParagraph"/>
              <w:spacing w:before="2" w:line="237" w:lineRule="auto"/>
              <w:ind w:right="387"/>
              <w:rPr>
                <w:rFonts w:ascii="Lato" w:hAnsi="Lato"/>
                <w:b/>
              </w:rPr>
            </w:pPr>
            <w:r w:rsidRPr="00252431">
              <w:rPr>
                <w:rFonts w:ascii="Lato" w:hAnsi="Lato"/>
                <w:b/>
                <w:color w:val="FFFFFF"/>
              </w:rPr>
              <w:t>Primary</w:t>
            </w:r>
            <w:r w:rsidRPr="00252431">
              <w:rPr>
                <w:rFonts w:ascii="Lato" w:hAnsi="Lato"/>
                <w:b/>
                <w:color w:val="FFFFFF"/>
                <w:spacing w:val="-13"/>
              </w:rPr>
              <w:t xml:space="preserve"> </w:t>
            </w:r>
            <w:r w:rsidRPr="00252431">
              <w:rPr>
                <w:rFonts w:ascii="Lato" w:hAnsi="Lato"/>
                <w:b/>
                <w:color w:val="FFFFFF"/>
              </w:rPr>
              <w:t xml:space="preserve">Reporting </w:t>
            </w:r>
            <w:r w:rsidRPr="00252431">
              <w:rPr>
                <w:rFonts w:ascii="Lato" w:hAnsi="Lato"/>
                <w:b/>
                <w:color w:val="FFFFFF"/>
                <w:spacing w:val="-2"/>
              </w:rPr>
              <w:t>Relationship</w:t>
            </w:r>
          </w:p>
        </w:tc>
        <w:tc>
          <w:tcPr>
            <w:tcW w:w="8894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26872C68" w14:textId="77777777" w:rsidR="00B443D5" w:rsidRPr="00252431" w:rsidRDefault="00232597" w:rsidP="00414DA1">
            <w:pPr>
              <w:pStyle w:val="TableParagraph"/>
              <w:spacing w:before="76"/>
              <w:ind w:left="132"/>
              <w:rPr>
                <w:rFonts w:ascii="Lato" w:hAnsi="Lato"/>
              </w:rPr>
            </w:pPr>
            <w:r w:rsidRPr="00252431">
              <w:rPr>
                <w:rFonts w:ascii="Lato" w:hAnsi="Lato"/>
              </w:rPr>
              <w:t>Report</w:t>
            </w:r>
            <w:r w:rsidRPr="00252431">
              <w:rPr>
                <w:rFonts w:ascii="Lato" w:hAnsi="Lato"/>
                <w:spacing w:val="-3"/>
              </w:rPr>
              <w:t xml:space="preserve"> </w:t>
            </w:r>
            <w:r w:rsidRPr="00252431">
              <w:rPr>
                <w:rFonts w:ascii="Lato" w:hAnsi="Lato"/>
              </w:rPr>
              <w:t>to</w:t>
            </w:r>
            <w:r w:rsidRPr="00252431">
              <w:rPr>
                <w:rFonts w:ascii="Lato" w:hAnsi="Lato"/>
                <w:spacing w:val="-3"/>
              </w:rPr>
              <w:t xml:space="preserve"> </w:t>
            </w:r>
            <w:r w:rsidRPr="00252431">
              <w:rPr>
                <w:rFonts w:ascii="Lato" w:hAnsi="Lato"/>
              </w:rPr>
              <w:t>Shared</w:t>
            </w:r>
            <w:r w:rsidRPr="00252431">
              <w:rPr>
                <w:rFonts w:ascii="Lato" w:hAnsi="Lato"/>
                <w:spacing w:val="-4"/>
              </w:rPr>
              <w:t xml:space="preserve"> </w:t>
            </w:r>
            <w:r w:rsidRPr="00252431">
              <w:rPr>
                <w:rFonts w:ascii="Lato" w:hAnsi="Lato"/>
              </w:rPr>
              <w:t>Governance</w:t>
            </w:r>
            <w:r w:rsidRPr="00252431">
              <w:rPr>
                <w:rFonts w:ascii="Lato" w:hAnsi="Lato"/>
                <w:spacing w:val="-2"/>
              </w:rPr>
              <w:t xml:space="preserve"> </w:t>
            </w:r>
            <w:r w:rsidRPr="00252431">
              <w:rPr>
                <w:rFonts w:ascii="Lato" w:hAnsi="Lato"/>
              </w:rPr>
              <w:t>Council</w:t>
            </w:r>
            <w:r w:rsidRPr="00252431">
              <w:rPr>
                <w:rFonts w:ascii="Lato" w:hAnsi="Lato"/>
                <w:spacing w:val="-3"/>
              </w:rPr>
              <w:t xml:space="preserve"> </w:t>
            </w:r>
            <w:r w:rsidRPr="00252431">
              <w:rPr>
                <w:rFonts w:ascii="Lato" w:hAnsi="Lato"/>
                <w:spacing w:val="-2"/>
              </w:rPr>
              <w:t>(SGC)</w:t>
            </w:r>
          </w:p>
          <w:p w14:paraId="26872C69" w14:textId="77777777" w:rsidR="00B443D5" w:rsidRPr="00252431" w:rsidRDefault="00232597" w:rsidP="00414DA1">
            <w:pPr>
              <w:pStyle w:val="TableParagraph"/>
              <w:ind w:left="132"/>
              <w:rPr>
                <w:rFonts w:ascii="Lato" w:hAnsi="Lato"/>
              </w:rPr>
            </w:pPr>
            <w:r w:rsidRPr="00252431">
              <w:rPr>
                <w:rFonts w:ascii="Lato" w:hAnsi="Lato"/>
              </w:rPr>
              <w:t>District</w:t>
            </w:r>
            <w:r w:rsidRPr="00252431">
              <w:rPr>
                <w:rFonts w:ascii="Lato" w:hAnsi="Lato"/>
                <w:spacing w:val="-4"/>
              </w:rPr>
              <w:t xml:space="preserve"> </w:t>
            </w:r>
            <w:r w:rsidRPr="00252431">
              <w:rPr>
                <w:rFonts w:ascii="Lato" w:hAnsi="Lato"/>
              </w:rPr>
              <w:t>EEO</w:t>
            </w:r>
            <w:r w:rsidRPr="00252431">
              <w:rPr>
                <w:rFonts w:ascii="Lato" w:hAnsi="Lato"/>
                <w:spacing w:val="-1"/>
              </w:rPr>
              <w:t xml:space="preserve"> </w:t>
            </w:r>
            <w:r w:rsidRPr="00252431">
              <w:rPr>
                <w:rFonts w:ascii="Lato" w:hAnsi="Lato"/>
                <w:spacing w:val="-2"/>
              </w:rPr>
              <w:t>(DEEOAC)</w:t>
            </w:r>
          </w:p>
        </w:tc>
      </w:tr>
      <w:tr w:rsidR="00B443D5" w:rsidRPr="00252431" w14:paraId="26872C6D" w14:textId="77777777" w:rsidTr="00C21F84">
        <w:trPr>
          <w:trHeight w:val="1520"/>
        </w:trPr>
        <w:tc>
          <w:tcPr>
            <w:tcW w:w="2175" w:type="dxa"/>
            <w:tcBorders>
              <w:left w:val="nil"/>
            </w:tcBorders>
            <w:shd w:val="clear" w:color="auto" w:fill="4F81BD" w:themeFill="accent1"/>
          </w:tcPr>
          <w:p w14:paraId="26872C6B" w14:textId="77777777" w:rsidR="00B443D5" w:rsidRPr="00252431" w:rsidRDefault="00232597">
            <w:pPr>
              <w:pStyle w:val="TableParagraph"/>
              <w:spacing w:before="2" w:line="237" w:lineRule="auto"/>
              <w:ind w:right="646"/>
              <w:rPr>
                <w:rFonts w:ascii="Lato" w:hAnsi="Lato"/>
                <w:b/>
              </w:rPr>
            </w:pPr>
            <w:r w:rsidRPr="00252431">
              <w:rPr>
                <w:rFonts w:ascii="Lato" w:hAnsi="Lato"/>
                <w:b/>
                <w:color w:val="FFFFFF"/>
                <w:spacing w:val="-2"/>
              </w:rPr>
              <w:t>Potential Subcommittees</w:t>
            </w:r>
          </w:p>
        </w:tc>
        <w:tc>
          <w:tcPr>
            <w:tcW w:w="8894" w:type="dxa"/>
            <w:tcBorders>
              <w:right w:val="nil"/>
            </w:tcBorders>
            <w:shd w:val="clear" w:color="auto" w:fill="FFFFFF" w:themeFill="background1"/>
          </w:tcPr>
          <w:p w14:paraId="26872C6C" w14:textId="77777777" w:rsidR="00B443D5" w:rsidRPr="00252431" w:rsidRDefault="00232597" w:rsidP="00414DA1">
            <w:pPr>
              <w:pStyle w:val="TableParagraph"/>
              <w:spacing w:before="73"/>
              <w:ind w:left="143"/>
              <w:rPr>
                <w:rFonts w:ascii="Lato" w:hAnsi="Lato"/>
              </w:rPr>
            </w:pPr>
            <w:r w:rsidRPr="00252431">
              <w:rPr>
                <w:rFonts w:ascii="Lato" w:hAnsi="Lato"/>
                <w:spacing w:val="-10"/>
              </w:rPr>
              <w:t>-</w:t>
            </w:r>
          </w:p>
        </w:tc>
      </w:tr>
      <w:tr w:rsidR="00B443D5" w:rsidRPr="00252431" w14:paraId="26872C70" w14:textId="77777777">
        <w:trPr>
          <w:trHeight w:val="270"/>
        </w:trPr>
        <w:tc>
          <w:tcPr>
            <w:tcW w:w="2175" w:type="dxa"/>
            <w:tcBorders>
              <w:left w:val="nil"/>
            </w:tcBorders>
            <w:shd w:val="clear" w:color="auto" w:fill="8F1D1D"/>
          </w:tcPr>
          <w:p w14:paraId="26872C6E" w14:textId="77777777" w:rsidR="00B443D5" w:rsidRPr="00252431" w:rsidRDefault="00232597">
            <w:pPr>
              <w:pStyle w:val="TableParagraph"/>
              <w:spacing w:line="249" w:lineRule="exact"/>
              <w:rPr>
                <w:rFonts w:ascii="Lato" w:hAnsi="Lato"/>
                <w:b/>
              </w:rPr>
            </w:pPr>
            <w:r w:rsidRPr="00252431">
              <w:rPr>
                <w:rFonts w:ascii="Lato" w:hAnsi="Lato"/>
                <w:b/>
                <w:color w:val="FFFFFF"/>
                <w:spacing w:val="-2"/>
              </w:rPr>
              <w:t>Website</w:t>
            </w:r>
          </w:p>
        </w:tc>
        <w:tc>
          <w:tcPr>
            <w:tcW w:w="8894" w:type="dxa"/>
            <w:tcBorders>
              <w:bottom w:val="nil"/>
              <w:right w:val="nil"/>
            </w:tcBorders>
            <w:shd w:val="clear" w:color="auto" w:fill="E7E6E6"/>
          </w:tcPr>
          <w:p w14:paraId="26872C6F" w14:textId="3E2B6BEB" w:rsidR="00B443D5" w:rsidRPr="00252431" w:rsidRDefault="00B443D5" w:rsidP="00414DA1">
            <w:pPr>
              <w:pStyle w:val="TableParagraph"/>
              <w:ind w:left="405"/>
              <w:rPr>
                <w:rFonts w:ascii="Lato" w:hAnsi="Lato"/>
              </w:rPr>
            </w:pPr>
          </w:p>
        </w:tc>
      </w:tr>
      <w:tr w:rsidR="00B443D5" w:rsidRPr="00252431" w14:paraId="26872C73" w14:textId="77777777">
        <w:trPr>
          <w:trHeight w:val="265"/>
        </w:trPr>
        <w:tc>
          <w:tcPr>
            <w:tcW w:w="2175" w:type="dxa"/>
            <w:tcBorders>
              <w:left w:val="nil"/>
            </w:tcBorders>
            <w:shd w:val="clear" w:color="auto" w:fill="1E8ACD"/>
          </w:tcPr>
          <w:p w14:paraId="26872C71" w14:textId="77777777" w:rsidR="00B443D5" w:rsidRPr="00252431" w:rsidRDefault="00232597">
            <w:pPr>
              <w:pStyle w:val="TableParagraph"/>
              <w:spacing w:line="245" w:lineRule="exact"/>
              <w:rPr>
                <w:rFonts w:ascii="Lato" w:hAnsi="Lato"/>
                <w:b/>
              </w:rPr>
            </w:pPr>
            <w:r w:rsidRPr="00252431">
              <w:rPr>
                <w:rFonts w:ascii="Lato" w:hAnsi="Lato"/>
                <w:b/>
                <w:color w:val="FFFFFF"/>
                <w:spacing w:val="-2"/>
              </w:rPr>
              <w:t>Evaluation</w:t>
            </w:r>
          </w:p>
        </w:tc>
        <w:tc>
          <w:tcPr>
            <w:tcW w:w="8894" w:type="dxa"/>
            <w:tcBorders>
              <w:top w:val="nil"/>
              <w:right w:val="nil"/>
            </w:tcBorders>
            <w:shd w:val="clear" w:color="auto" w:fill="1E8ACD"/>
          </w:tcPr>
          <w:p w14:paraId="26872C72" w14:textId="77777777" w:rsidR="00B443D5" w:rsidRPr="00252431" w:rsidRDefault="00B443D5" w:rsidP="00414DA1">
            <w:pPr>
              <w:pStyle w:val="TableParagraph"/>
              <w:ind w:left="0"/>
              <w:rPr>
                <w:rFonts w:ascii="Lato" w:hAnsi="Lato"/>
                <w:sz w:val="18"/>
              </w:rPr>
            </w:pPr>
          </w:p>
        </w:tc>
      </w:tr>
      <w:tr w:rsidR="00B443D5" w:rsidRPr="00252431" w14:paraId="26872C76" w14:textId="77777777">
        <w:trPr>
          <w:trHeight w:val="270"/>
        </w:trPr>
        <w:tc>
          <w:tcPr>
            <w:tcW w:w="2175" w:type="dxa"/>
            <w:tcBorders>
              <w:left w:val="nil"/>
              <w:bottom w:val="nil"/>
            </w:tcBorders>
            <w:shd w:val="clear" w:color="auto" w:fill="8F1D1D"/>
          </w:tcPr>
          <w:p w14:paraId="26872C74" w14:textId="77777777" w:rsidR="00B443D5" w:rsidRPr="00252431" w:rsidRDefault="00232597">
            <w:pPr>
              <w:pStyle w:val="TableParagraph"/>
              <w:spacing w:line="249" w:lineRule="exact"/>
              <w:rPr>
                <w:rFonts w:ascii="Lato" w:hAnsi="Lato"/>
                <w:b/>
              </w:rPr>
            </w:pPr>
            <w:r w:rsidRPr="00252431">
              <w:rPr>
                <w:rFonts w:ascii="Lato" w:hAnsi="Lato"/>
                <w:b/>
                <w:color w:val="FFFFFF"/>
              </w:rPr>
              <w:t>Last</w:t>
            </w:r>
            <w:r w:rsidRPr="00252431">
              <w:rPr>
                <w:rFonts w:ascii="Lato" w:hAnsi="Lato"/>
                <w:b/>
                <w:color w:val="FFFFFF"/>
                <w:spacing w:val="-5"/>
              </w:rPr>
              <w:t xml:space="preserve"> </w:t>
            </w:r>
            <w:r w:rsidRPr="00252431">
              <w:rPr>
                <w:rFonts w:ascii="Lato" w:hAnsi="Lato"/>
                <w:b/>
                <w:color w:val="FFFFFF"/>
                <w:spacing w:val="-2"/>
              </w:rPr>
              <w:t>Updated</w:t>
            </w:r>
          </w:p>
        </w:tc>
        <w:tc>
          <w:tcPr>
            <w:tcW w:w="8894" w:type="dxa"/>
            <w:tcBorders>
              <w:bottom w:val="nil"/>
              <w:right w:val="nil"/>
            </w:tcBorders>
            <w:shd w:val="clear" w:color="auto" w:fill="D0CECE"/>
          </w:tcPr>
          <w:p w14:paraId="26872C75" w14:textId="22D7E2E0" w:rsidR="00B443D5" w:rsidRPr="00252431" w:rsidRDefault="00B443D5" w:rsidP="00414DA1">
            <w:pPr>
              <w:pStyle w:val="TableParagraph"/>
              <w:ind w:left="234"/>
              <w:rPr>
                <w:rFonts w:ascii="Lato" w:hAnsi="Lato"/>
              </w:rPr>
            </w:pPr>
          </w:p>
        </w:tc>
      </w:tr>
    </w:tbl>
    <w:p w14:paraId="26872C77" w14:textId="77777777" w:rsidR="00232597" w:rsidRPr="00252431" w:rsidRDefault="00232597">
      <w:pPr>
        <w:rPr>
          <w:rFonts w:ascii="Lato" w:hAnsi="Lato"/>
        </w:rPr>
      </w:pPr>
    </w:p>
    <w:sectPr w:rsidR="00000000" w:rsidRPr="00252431">
      <w:type w:val="continuous"/>
      <w:pgSz w:w="12240" w:h="15840"/>
      <w:pgMar w:top="700" w:right="3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93161"/>
    <w:multiLevelType w:val="hybridMultilevel"/>
    <w:tmpl w:val="02E082D8"/>
    <w:lvl w:ilvl="0" w:tplc="37CAABEE">
      <w:start w:val="1"/>
      <w:numFmt w:val="decimal"/>
      <w:lvlText w:val="%1."/>
      <w:lvlJc w:val="left"/>
      <w:pPr>
        <w:ind w:left="300" w:hanging="194"/>
        <w:jc w:val="left"/>
      </w:pPr>
      <w:rPr>
        <w:rFonts w:ascii="Lato" w:eastAsia="Calibri" w:hAnsi="Lato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1EA89230">
      <w:numFmt w:val="bullet"/>
      <w:lvlText w:val="•"/>
      <w:lvlJc w:val="left"/>
      <w:pPr>
        <w:ind w:left="1158" w:hanging="194"/>
      </w:pPr>
      <w:rPr>
        <w:rFonts w:hint="default"/>
        <w:lang w:val="en-US" w:eastAsia="en-US" w:bidi="ar-SA"/>
      </w:rPr>
    </w:lvl>
    <w:lvl w:ilvl="2" w:tplc="A61E77D2">
      <w:numFmt w:val="bullet"/>
      <w:lvlText w:val="•"/>
      <w:lvlJc w:val="left"/>
      <w:pPr>
        <w:ind w:left="2017" w:hanging="194"/>
      </w:pPr>
      <w:rPr>
        <w:rFonts w:hint="default"/>
        <w:lang w:val="en-US" w:eastAsia="en-US" w:bidi="ar-SA"/>
      </w:rPr>
    </w:lvl>
    <w:lvl w:ilvl="3" w:tplc="38E636DA">
      <w:numFmt w:val="bullet"/>
      <w:lvlText w:val="•"/>
      <w:lvlJc w:val="left"/>
      <w:pPr>
        <w:ind w:left="2876" w:hanging="194"/>
      </w:pPr>
      <w:rPr>
        <w:rFonts w:hint="default"/>
        <w:lang w:val="en-US" w:eastAsia="en-US" w:bidi="ar-SA"/>
      </w:rPr>
    </w:lvl>
    <w:lvl w:ilvl="4" w:tplc="BCCEAE8A">
      <w:numFmt w:val="bullet"/>
      <w:lvlText w:val="•"/>
      <w:lvlJc w:val="left"/>
      <w:pPr>
        <w:ind w:left="3735" w:hanging="194"/>
      </w:pPr>
      <w:rPr>
        <w:rFonts w:hint="default"/>
        <w:lang w:val="en-US" w:eastAsia="en-US" w:bidi="ar-SA"/>
      </w:rPr>
    </w:lvl>
    <w:lvl w:ilvl="5" w:tplc="95705206">
      <w:numFmt w:val="bullet"/>
      <w:lvlText w:val="•"/>
      <w:lvlJc w:val="left"/>
      <w:pPr>
        <w:ind w:left="4594" w:hanging="194"/>
      </w:pPr>
      <w:rPr>
        <w:rFonts w:hint="default"/>
        <w:lang w:val="en-US" w:eastAsia="en-US" w:bidi="ar-SA"/>
      </w:rPr>
    </w:lvl>
    <w:lvl w:ilvl="6" w:tplc="22A0D570">
      <w:numFmt w:val="bullet"/>
      <w:lvlText w:val="•"/>
      <w:lvlJc w:val="left"/>
      <w:pPr>
        <w:ind w:left="5453" w:hanging="194"/>
      </w:pPr>
      <w:rPr>
        <w:rFonts w:hint="default"/>
        <w:lang w:val="en-US" w:eastAsia="en-US" w:bidi="ar-SA"/>
      </w:rPr>
    </w:lvl>
    <w:lvl w:ilvl="7" w:tplc="C60E790E">
      <w:numFmt w:val="bullet"/>
      <w:lvlText w:val="•"/>
      <w:lvlJc w:val="left"/>
      <w:pPr>
        <w:ind w:left="6312" w:hanging="194"/>
      </w:pPr>
      <w:rPr>
        <w:rFonts w:hint="default"/>
        <w:lang w:val="en-US" w:eastAsia="en-US" w:bidi="ar-SA"/>
      </w:rPr>
    </w:lvl>
    <w:lvl w:ilvl="8" w:tplc="7CC07446">
      <w:numFmt w:val="bullet"/>
      <w:lvlText w:val="•"/>
      <w:lvlJc w:val="left"/>
      <w:pPr>
        <w:ind w:left="7171" w:hanging="194"/>
      </w:pPr>
      <w:rPr>
        <w:rFonts w:hint="default"/>
        <w:lang w:val="en-US" w:eastAsia="en-US" w:bidi="ar-SA"/>
      </w:rPr>
    </w:lvl>
  </w:abstractNum>
  <w:num w:numId="1" w16cid:durableId="21227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D5"/>
    <w:rsid w:val="00163EE1"/>
    <w:rsid w:val="00232597"/>
    <w:rsid w:val="00252431"/>
    <w:rsid w:val="0032463E"/>
    <w:rsid w:val="00414DA1"/>
    <w:rsid w:val="009B32CD"/>
    <w:rsid w:val="00B443D5"/>
    <w:rsid w:val="00C2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72C42"/>
  <w15:docId w15:val="{E74CCCE5-B9E8-4E30-9FC8-FED8CCE2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cjc.org/wp-content/uploads/ACCJC-2024-Accreditation-Standards.pdf" TargetMode="External"/><Relationship Id="rId5" Type="http://schemas.openxmlformats.org/officeDocument/2006/relationships/hyperlink" Target="https://accjc.org/wp-content/uploads/ACCJC-2024-Accreditation-Standard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College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Nogarr, Aprill</dc:creator>
  <cp:lastModifiedBy>Jenkins, Maya</cp:lastModifiedBy>
  <cp:revision>2</cp:revision>
  <dcterms:created xsi:type="dcterms:W3CDTF">2025-03-06T00:33:00Z</dcterms:created>
  <dcterms:modified xsi:type="dcterms:W3CDTF">2025-03-06T00:33:00Z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2025-03-05T00:00:00Z</vt:filetime>
  </property>
</Properties>
</file>